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pPr w:leftFromText="180" w:rightFromText="180" w:vertAnchor="text" w:horzAnchor="margin" w:tblpY="-18"/>
        <w:tblW w:w="13982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000" w:firstRow="0" w:lastRow="0" w:firstColumn="0" w:lastColumn="0" w:noHBand="0" w:noVBand="0"/>
      </w:tblPr>
      <w:tblGrid>
        <w:gridCol w:w="891"/>
        <w:gridCol w:w="1801"/>
        <w:gridCol w:w="6942"/>
        <w:gridCol w:w="1701"/>
        <w:gridCol w:w="1622"/>
        <w:gridCol w:w="1025"/>
      </w:tblGrid>
      <w:tr w:rsidR="003E7975" w14:paraId="1437E409" w14:textId="77777777" w:rsidTr="00336E1E">
        <w:trPr>
          <w:trHeight w:val="673"/>
        </w:trPr>
        <w:tc>
          <w:tcPr>
            <w:tcW w:w="13982" w:type="dxa"/>
            <w:gridSpan w:val="6"/>
          </w:tcPr>
          <w:p w14:paraId="7E18B07F" w14:textId="7744751B" w:rsidR="003E7975" w:rsidRDefault="003E7975" w:rsidP="00336E1E">
            <w:pPr>
              <w:rPr>
                <w:rFonts w:cstheme="minorHAnsi"/>
                <w:sz w:val="24"/>
                <w:szCs w:val="24"/>
              </w:rPr>
            </w:pPr>
            <w:r w:rsidRPr="001B6F76">
              <w:rPr>
                <w:rFonts w:ascii="Arial" w:hAnsi="Arial" w:cs="Arial"/>
                <w:b/>
                <w:bCs/>
                <w:color w:val="0070C0"/>
                <w:sz w:val="28"/>
                <w:szCs w:val="28"/>
                <w:u w:val="single"/>
              </w:rPr>
              <w:t xml:space="preserve">Additional file </w:t>
            </w:r>
            <w:r w:rsidR="00A3777E">
              <w:rPr>
                <w:rFonts w:ascii="Arial" w:hAnsi="Arial" w:cs="Arial"/>
                <w:b/>
                <w:bCs/>
                <w:color w:val="0070C0"/>
                <w:sz w:val="28"/>
                <w:szCs w:val="28"/>
                <w:u w:val="single"/>
              </w:rPr>
              <w:t>6</w:t>
            </w:r>
            <w:bookmarkStart w:id="0" w:name="_GoBack"/>
            <w:bookmarkEnd w:id="0"/>
            <w:r w:rsidRPr="001B6F76">
              <w:rPr>
                <w:rFonts w:ascii="Arial" w:hAnsi="Arial" w:cs="Arial"/>
                <w:b/>
                <w:bCs/>
                <w:color w:val="0070C0"/>
                <w:sz w:val="28"/>
                <w:szCs w:val="28"/>
                <w:u w:val="single"/>
              </w:rPr>
              <w:t>: Critical appraisal of full text articles</w:t>
            </w:r>
          </w:p>
        </w:tc>
      </w:tr>
      <w:tr w:rsidR="003E7975" w:rsidRPr="00E065CE" w14:paraId="6D1262EB" w14:textId="77777777" w:rsidTr="00336E1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 w:firstRow="1" w:lastRow="0" w:firstColumn="1" w:lastColumn="0" w:noHBand="0" w:noVBand="1"/>
        </w:tblPrEx>
        <w:trPr>
          <w:trHeight w:val="983"/>
        </w:trPr>
        <w:tc>
          <w:tcPr>
            <w:tcW w:w="891" w:type="dxa"/>
          </w:tcPr>
          <w:p w14:paraId="3F33F653" w14:textId="77777777" w:rsidR="003E7975" w:rsidRPr="00E065CE" w:rsidRDefault="003E7975" w:rsidP="00336E1E">
            <w:pPr>
              <w:rPr>
                <w:rFonts w:cstheme="minorHAnsi"/>
                <w:sz w:val="24"/>
                <w:szCs w:val="24"/>
              </w:rPr>
            </w:pPr>
            <w:r w:rsidRPr="00E065CE">
              <w:rPr>
                <w:rFonts w:cstheme="minorHAnsi"/>
                <w:sz w:val="24"/>
                <w:szCs w:val="24"/>
              </w:rPr>
              <w:t>S.No.</w:t>
            </w:r>
          </w:p>
        </w:tc>
        <w:tc>
          <w:tcPr>
            <w:tcW w:w="1801" w:type="dxa"/>
          </w:tcPr>
          <w:p w14:paraId="477DABD0" w14:textId="77777777" w:rsidR="003E7975" w:rsidRPr="00E065CE" w:rsidRDefault="003E7975" w:rsidP="00336E1E">
            <w:pPr>
              <w:rPr>
                <w:rFonts w:cstheme="minorHAnsi"/>
                <w:sz w:val="24"/>
                <w:szCs w:val="24"/>
              </w:rPr>
            </w:pPr>
            <w:r w:rsidRPr="00E065CE">
              <w:rPr>
                <w:rFonts w:cstheme="minorHAnsi"/>
                <w:sz w:val="24"/>
                <w:szCs w:val="24"/>
              </w:rPr>
              <w:t>Author</w:t>
            </w:r>
            <w:r>
              <w:rPr>
                <w:rFonts w:cstheme="minorHAnsi"/>
                <w:sz w:val="24"/>
                <w:szCs w:val="24"/>
              </w:rPr>
              <w:t>(year)</w:t>
            </w:r>
          </w:p>
        </w:tc>
        <w:tc>
          <w:tcPr>
            <w:tcW w:w="6942" w:type="dxa"/>
          </w:tcPr>
          <w:p w14:paraId="3B35265A" w14:textId="77777777" w:rsidR="003E7975" w:rsidRPr="00E065CE" w:rsidRDefault="003E7975" w:rsidP="00336E1E">
            <w:pPr>
              <w:rPr>
                <w:rFonts w:cstheme="minorHAnsi"/>
                <w:sz w:val="24"/>
                <w:szCs w:val="24"/>
              </w:rPr>
            </w:pPr>
            <w:r w:rsidRPr="00E065CE">
              <w:rPr>
                <w:rFonts w:cstheme="minorHAnsi"/>
                <w:sz w:val="24"/>
                <w:szCs w:val="24"/>
              </w:rPr>
              <w:t>Article</w:t>
            </w:r>
            <w:r>
              <w:rPr>
                <w:rFonts w:cstheme="minorHAnsi"/>
                <w:sz w:val="24"/>
                <w:szCs w:val="24"/>
              </w:rPr>
              <w:t>/paper</w:t>
            </w:r>
          </w:p>
        </w:tc>
        <w:tc>
          <w:tcPr>
            <w:tcW w:w="1701" w:type="dxa"/>
          </w:tcPr>
          <w:p w14:paraId="010D11BB" w14:textId="77777777" w:rsidR="003E7975" w:rsidRPr="00E065CE" w:rsidRDefault="003E7975" w:rsidP="00336E1E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Methodology</w:t>
            </w:r>
          </w:p>
        </w:tc>
        <w:tc>
          <w:tcPr>
            <w:tcW w:w="1622" w:type="dxa"/>
          </w:tcPr>
          <w:p w14:paraId="6D6DEDE6" w14:textId="77777777" w:rsidR="003E7975" w:rsidRPr="00E065CE" w:rsidRDefault="003E7975" w:rsidP="00336E1E">
            <w:pPr>
              <w:rPr>
                <w:rFonts w:cstheme="minorHAnsi"/>
                <w:sz w:val="24"/>
                <w:szCs w:val="24"/>
              </w:rPr>
            </w:pPr>
            <w:r w:rsidRPr="00E065CE">
              <w:rPr>
                <w:rFonts w:cstheme="minorHAnsi"/>
                <w:sz w:val="24"/>
                <w:szCs w:val="24"/>
              </w:rPr>
              <w:t>Percentage</w:t>
            </w:r>
            <w:r>
              <w:rPr>
                <w:rFonts w:cstheme="minorHAnsi"/>
                <w:sz w:val="24"/>
                <w:szCs w:val="24"/>
              </w:rPr>
              <w:t xml:space="preserve"> (in %)</w:t>
            </w:r>
          </w:p>
        </w:tc>
        <w:tc>
          <w:tcPr>
            <w:tcW w:w="1025" w:type="dxa"/>
          </w:tcPr>
          <w:p w14:paraId="2D4C8EE3" w14:textId="77777777" w:rsidR="003E7975" w:rsidRPr="00E065CE" w:rsidRDefault="003E7975" w:rsidP="00336E1E">
            <w:pPr>
              <w:rPr>
                <w:rFonts w:cstheme="minorHAnsi"/>
                <w:sz w:val="24"/>
                <w:szCs w:val="24"/>
              </w:rPr>
            </w:pPr>
            <w:r w:rsidRPr="00E065CE">
              <w:rPr>
                <w:rFonts w:cstheme="minorHAnsi"/>
                <w:sz w:val="24"/>
                <w:szCs w:val="24"/>
              </w:rPr>
              <w:t>Quality</w:t>
            </w:r>
          </w:p>
        </w:tc>
      </w:tr>
      <w:tr w:rsidR="003E7975" w:rsidRPr="00E065CE" w14:paraId="0772E6C1" w14:textId="77777777" w:rsidTr="00336E1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 w:firstRow="1" w:lastRow="0" w:firstColumn="1" w:lastColumn="0" w:noHBand="0" w:noVBand="1"/>
        </w:tblPrEx>
        <w:trPr>
          <w:trHeight w:val="565"/>
        </w:trPr>
        <w:tc>
          <w:tcPr>
            <w:tcW w:w="891" w:type="dxa"/>
          </w:tcPr>
          <w:p w14:paraId="7569C402" w14:textId="77777777" w:rsidR="003E7975" w:rsidRPr="00E065CE" w:rsidRDefault="003E7975" w:rsidP="00336E1E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801" w:type="dxa"/>
          </w:tcPr>
          <w:p w14:paraId="75917DA1" w14:textId="77777777" w:rsidR="003E7975" w:rsidRDefault="003E7975" w:rsidP="00336E1E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Summers et al</w:t>
            </w:r>
          </w:p>
          <w:p w14:paraId="698D81E5" w14:textId="77777777" w:rsidR="003E7975" w:rsidRPr="00E065CE" w:rsidRDefault="003E7975" w:rsidP="00336E1E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(1994)</w:t>
            </w:r>
          </w:p>
        </w:tc>
        <w:tc>
          <w:tcPr>
            <w:tcW w:w="6942" w:type="dxa"/>
          </w:tcPr>
          <w:p w14:paraId="74BD2A7F" w14:textId="77777777" w:rsidR="003E7975" w:rsidRPr="00E065CE" w:rsidRDefault="003E7975" w:rsidP="00336E1E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The use of tobacco and betel quid (‘pan’) among Bangladeshi women in West Yorkshire</w:t>
            </w:r>
          </w:p>
        </w:tc>
        <w:tc>
          <w:tcPr>
            <w:tcW w:w="1701" w:type="dxa"/>
          </w:tcPr>
          <w:p w14:paraId="18143117" w14:textId="77777777" w:rsidR="003E7975" w:rsidRDefault="003E7975" w:rsidP="00336E1E">
            <w:pPr>
              <w:rPr>
                <w:rFonts w:cstheme="minorHAnsi"/>
                <w:sz w:val="24"/>
                <w:szCs w:val="24"/>
              </w:rPr>
            </w:pPr>
            <w:r w:rsidRPr="00B52F2B">
              <w:rPr>
                <w:rFonts w:cstheme="minorHAnsi"/>
                <w:sz w:val="24"/>
                <w:szCs w:val="24"/>
              </w:rPr>
              <w:t>Quantitative</w:t>
            </w:r>
          </w:p>
        </w:tc>
        <w:tc>
          <w:tcPr>
            <w:tcW w:w="1622" w:type="dxa"/>
          </w:tcPr>
          <w:p w14:paraId="59AC0902" w14:textId="77777777" w:rsidR="003E7975" w:rsidRPr="00E065CE" w:rsidRDefault="003E7975" w:rsidP="00336E1E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62.5</w:t>
            </w:r>
          </w:p>
        </w:tc>
        <w:tc>
          <w:tcPr>
            <w:tcW w:w="1025" w:type="dxa"/>
          </w:tcPr>
          <w:p w14:paraId="37E280C5" w14:textId="6D898B8D" w:rsidR="003E7975" w:rsidRDefault="006454C1" w:rsidP="00336E1E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B</w:t>
            </w:r>
          </w:p>
        </w:tc>
      </w:tr>
      <w:tr w:rsidR="003E7975" w:rsidRPr="00E065CE" w14:paraId="310EFBF6" w14:textId="77777777" w:rsidTr="00336E1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 w:firstRow="1" w:lastRow="0" w:firstColumn="1" w:lastColumn="0" w:noHBand="0" w:noVBand="1"/>
        </w:tblPrEx>
        <w:trPr>
          <w:trHeight w:val="565"/>
        </w:trPr>
        <w:tc>
          <w:tcPr>
            <w:tcW w:w="891" w:type="dxa"/>
          </w:tcPr>
          <w:p w14:paraId="5E0B1DC7" w14:textId="77777777" w:rsidR="003E7975" w:rsidRDefault="003E7975" w:rsidP="00336E1E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801" w:type="dxa"/>
          </w:tcPr>
          <w:p w14:paraId="6B8246D0" w14:textId="77777777" w:rsidR="003E7975" w:rsidRDefault="003E7975" w:rsidP="00336E1E">
            <w:pPr>
              <w:rPr>
                <w:rFonts w:cstheme="minorHAnsi"/>
                <w:sz w:val="24"/>
                <w:szCs w:val="24"/>
              </w:rPr>
            </w:pPr>
            <w:proofErr w:type="spellStart"/>
            <w:r>
              <w:rPr>
                <w:rFonts w:cstheme="minorHAnsi"/>
                <w:sz w:val="24"/>
                <w:szCs w:val="24"/>
              </w:rPr>
              <w:t>Shetti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et al </w:t>
            </w:r>
          </w:p>
          <w:p w14:paraId="7FE38C80" w14:textId="77777777" w:rsidR="003E7975" w:rsidRDefault="003E7975" w:rsidP="00336E1E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(1999)</w:t>
            </w:r>
          </w:p>
        </w:tc>
        <w:tc>
          <w:tcPr>
            <w:tcW w:w="6942" w:type="dxa"/>
          </w:tcPr>
          <w:p w14:paraId="5791FCEA" w14:textId="77777777" w:rsidR="003E7975" w:rsidRDefault="003E7975" w:rsidP="00336E1E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Knowledge, attitudes and beliefs of adult South Asians living in London regarding risk factors and signs for oral cancer</w:t>
            </w:r>
          </w:p>
        </w:tc>
        <w:tc>
          <w:tcPr>
            <w:tcW w:w="1701" w:type="dxa"/>
          </w:tcPr>
          <w:p w14:paraId="16A084F0" w14:textId="77777777" w:rsidR="003E7975" w:rsidRPr="00B52F2B" w:rsidRDefault="003E7975" w:rsidP="00336E1E">
            <w:pPr>
              <w:rPr>
                <w:rFonts w:cstheme="minorHAnsi"/>
                <w:sz w:val="24"/>
                <w:szCs w:val="24"/>
              </w:rPr>
            </w:pPr>
            <w:r w:rsidRPr="00B52F2B">
              <w:rPr>
                <w:rFonts w:cstheme="minorHAnsi"/>
                <w:sz w:val="24"/>
                <w:szCs w:val="24"/>
              </w:rPr>
              <w:t>Quantitative</w:t>
            </w:r>
          </w:p>
        </w:tc>
        <w:tc>
          <w:tcPr>
            <w:tcW w:w="1622" w:type="dxa"/>
          </w:tcPr>
          <w:p w14:paraId="27189C31" w14:textId="77777777" w:rsidR="003E7975" w:rsidRDefault="003E7975" w:rsidP="00336E1E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62.5</w:t>
            </w:r>
          </w:p>
        </w:tc>
        <w:tc>
          <w:tcPr>
            <w:tcW w:w="1025" w:type="dxa"/>
          </w:tcPr>
          <w:p w14:paraId="762CD5B2" w14:textId="48C42A3E" w:rsidR="003E7975" w:rsidRDefault="006454C1" w:rsidP="00336E1E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B</w:t>
            </w:r>
          </w:p>
        </w:tc>
      </w:tr>
      <w:tr w:rsidR="003E7975" w:rsidRPr="00E065CE" w14:paraId="71A9435C" w14:textId="77777777" w:rsidTr="00336E1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 w:firstRow="1" w:lastRow="0" w:firstColumn="1" w:lastColumn="0" w:noHBand="0" w:noVBand="1"/>
        </w:tblPrEx>
        <w:trPr>
          <w:trHeight w:val="565"/>
        </w:trPr>
        <w:tc>
          <w:tcPr>
            <w:tcW w:w="891" w:type="dxa"/>
          </w:tcPr>
          <w:p w14:paraId="26E4CE3B" w14:textId="77777777" w:rsidR="003E7975" w:rsidRDefault="003E7975" w:rsidP="00336E1E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801" w:type="dxa"/>
          </w:tcPr>
          <w:p w14:paraId="32C87A50" w14:textId="77777777" w:rsidR="003E7975" w:rsidRDefault="003E7975" w:rsidP="00336E1E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Vora et al</w:t>
            </w:r>
          </w:p>
          <w:p w14:paraId="50091079" w14:textId="77777777" w:rsidR="003E7975" w:rsidRDefault="003E7975" w:rsidP="00336E1E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(2000)</w:t>
            </w:r>
          </w:p>
        </w:tc>
        <w:tc>
          <w:tcPr>
            <w:tcW w:w="6942" w:type="dxa"/>
          </w:tcPr>
          <w:p w14:paraId="06C9E1C1" w14:textId="77777777" w:rsidR="003E7975" w:rsidRDefault="003E7975" w:rsidP="00336E1E">
            <w:pPr>
              <w:rPr>
                <w:rFonts w:cstheme="minorHAnsi"/>
                <w:sz w:val="24"/>
                <w:szCs w:val="24"/>
              </w:rPr>
            </w:pPr>
            <w:r w:rsidRPr="008C188D">
              <w:rPr>
                <w:rFonts w:cstheme="minorHAnsi"/>
                <w:color w:val="000000" w:themeColor="text1"/>
                <w:sz w:val="24"/>
                <w:szCs w:val="24"/>
              </w:rPr>
              <w:t xml:space="preserve">Alcohol, tobacco and </w:t>
            </w:r>
            <w:proofErr w:type="spellStart"/>
            <w:r w:rsidRPr="008C188D">
              <w:rPr>
                <w:rFonts w:cstheme="minorHAnsi"/>
                <w:color w:val="000000" w:themeColor="text1"/>
                <w:sz w:val="24"/>
                <w:szCs w:val="24"/>
              </w:rPr>
              <w:t>paan</w:t>
            </w:r>
            <w:proofErr w:type="spellEnd"/>
            <w:r w:rsidRPr="008C188D">
              <w:rPr>
                <w:rFonts w:cstheme="minorHAnsi"/>
                <w:color w:val="000000" w:themeColor="text1"/>
                <w:sz w:val="24"/>
                <w:szCs w:val="24"/>
              </w:rPr>
              <w:t xml:space="preserve"> use and understanding of oral cancer risk among Asian males in Leicester</w:t>
            </w:r>
          </w:p>
        </w:tc>
        <w:tc>
          <w:tcPr>
            <w:tcW w:w="1701" w:type="dxa"/>
          </w:tcPr>
          <w:p w14:paraId="09E65CE4" w14:textId="77777777" w:rsidR="003E7975" w:rsidRPr="00B52F2B" w:rsidRDefault="003E7975" w:rsidP="00336E1E">
            <w:pPr>
              <w:rPr>
                <w:rFonts w:cstheme="minorHAnsi"/>
                <w:sz w:val="24"/>
                <w:szCs w:val="24"/>
              </w:rPr>
            </w:pPr>
            <w:r w:rsidRPr="00B52F2B">
              <w:rPr>
                <w:rFonts w:cstheme="minorHAnsi"/>
                <w:sz w:val="24"/>
                <w:szCs w:val="24"/>
              </w:rPr>
              <w:t>Quantitative</w:t>
            </w:r>
          </w:p>
        </w:tc>
        <w:tc>
          <w:tcPr>
            <w:tcW w:w="1622" w:type="dxa"/>
          </w:tcPr>
          <w:p w14:paraId="65865E02" w14:textId="77777777" w:rsidR="003E7975" w:rsidRDefault="003E7975" w:rsidP="00336E1E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62.5</w:t>
            </w:r>
          </w:p>
        </w:tc>
        <w:tc>
          <w:tcPr>
            <w:tcW w:w="1025" w:type="dxa"/>
          </w:tcPr>
          <w:p w14:paraId="6ED161FE" w14:textId="09285112" w:rsidR="003E7975" w:rsidRDefault="006454C1" w:rsidP="00336E1E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B</w:t>
            </w:r>
          </w:p>
        </w:tc>
      </w:tr>
      <w:tr w:rsidR="003E7975" w:rsidRPr="00E065CE" w14:paraId="1A64FFC0" w14:textId="77777777" w:rsidTr="00336E1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 w:firstRow="1" w:lastRow="0" w:firstColumn="1" w:lastColumn="0" w:noHBand="0" w:noVBand="1"/>
        </w:tblPrEx>
        <w:trPr>
          <w:trHeight w:val="565"/>
        </w:trPr>
        <w:tc>
          <w:tcPr>
            <w:tcW w:w="891" w:type="dxa"/>
          </w:tcPr>
          <w:p w14:paraId="058A0474" w14:textId="77777777" w:rsidR="003E7975" w:rsidRDefault="003E7975" w:rsidP="00336E1E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801" w:type="dxa"/>
          </w:tcPr>
          <w:p w14:paraId="1AD99C80" w14:textId="77777777" w:rsidR="003E7975" w:rsidRDefault="003E7975" w:rsidP="00336E1E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 xml:space="preserve">Prabhu et al </w:t>
            </w:r>
          </w:p>
          <w:p w14:paraId="2955A37B" w14:textId="77777777" w:rsidR="003E7975" w:rsidRDefault="003E7975" w:rsidP="00336E1E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(2001)</w:t>
            </w:r>
          </w:p>
        </w:tc>
        <w:tc>
          <w:tcPr>
            <w:tcW w:w="6942" w:type="dxa"/>
          </w:tcPr>
          <w:p w14:paraId="556D7C60" w14:textId="77777777" w:rsidR="003E7975" w:rsidRPr="008C188D" w:rsidRDefault="003E7975" w:rsidP="00336E1E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8C188D">
              <w:rPr>
                <w:rFonts w:cstheme="minorHAnsi"/>
                <w:color w:val="000000" w:themeColor="text1"/>
                <w:sz w:val="24"/>
                <w:szCs w:val="24"/>
              </w:rPr>
              <w:t>Betel quid chewing among Bangladeshi adolescents living in East London</w:t>
            </w:r>
          </w:p>
        </w:tc>
        <w:tc>
          <w:tcPr>
            <w:tcW w:w="1701" w:type="dxa"/>
          </w:tcPr>
          <w:p w14:paraId="64494EC8" w14:textId="77777777" w:rsidR="003E7975" w:rsidRPr="00B52F2B" w:rsidRDefault="003E7975" w:rsidP="00336E1E">
            <w:pPr>
              <w:rPr>
                <w:rFonts w:cstheme="minorHAnsi"/>
                <w:sz w:val="24"/>
                <w:szCs w:val="24"/>
              </w:rPr>
            </w:pPr>
            <w:r w:rsidRPr="00B52F2B">
              <w:rPr>
                <w:rFonts w:cstheme="minorHAnsi"/>
                <w:sz w:val="24"/>
                <w:szCs w:val="24"/>
              </w:rPr>
              <w:t>Quantitative</w:t>
            </w:r>
          </w:p>
        </w:tc>
        <w:tc>
          <w:tcPr>
            <w:tcW w:w="1622" w:type="dxa"/>
          </w:tcPr>
          <w:p w14:paraId="6B603BAD" w14:textId="77777777" w:rsidR="003E7975" w:rsidRDefault="003E7975" w:rsidP="00336E1E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62.5</w:t>
            </w:r>
          </w:p>
        </w:tc>
        <w:tc>
          <w:tcPr>
            <w:tcW w:w="1025" w:type="dxa"/>
          </w:tcPr>
          <w:p w14:paraId="65DE40B3" w14:textId="1AC58312" w:rsidR="003E7975" w:rsidRDefault="006454C1" w:rsidP="00336E1E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B</w:t>
            </w:r>
          </w:p>
        </w:tc>
      </w:tr>
      <w:tr w:rsidR="003E7975" w:rsidRPr="00E065CE" w14:paraId="09BE563E" w14:textId="77777777" w:rsidTr="00336E1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 w:firstRow="1" w:lastRow="0" w:firstColumn="1" w:lastColumn="0" w:noHBand="0" w:noVBand="1"/>
        </w:tblPrEx>
        <w:trPr>
          <w:trHeight w:val="565"/>
        </w:trPr>
        <w:tc>
          <w:tcPr>
            <w:tcW w:w="891" w:type="dxa"/>
          </w:tcPr>
          <w:p w14:paraId="2FB431BB" w14:textId="77777777" w:rsidR="003E7975" w:rsidRDefault="003E7975" w:rsidP="00336E1E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</w:p>
        </w:tc>
        <w:tc>
          <w:tcPr>
            <w:tcW w:w="1801" w:type="dxa"/>
          </w:tcPr>
          <w:p w14:paraId="2EE4A9A1" w14:textId="77777777" w:rsidR="003E7975" w:rsidRDefault="003E7975" w:rsidP="00336E1E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Changrani et al (2006)</w:t>
            </w:r>
          </w:p>
        </w:tc>
        <w:tc>
          <w:tcPr>
            <w:tcW w:w="6942" w:type="dxa"/>
          </w:tcPr>
          <w:p w14:paraId="154C3F09" w14:textId="77777777" w:rsidR="003E7975" w:rsidRPr="008C188D" w:rsidRDefault="003E7975" w:rsidP="00336E1E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proofErr w:type="spellStart"/>
            <w:r w:rsidRPr="00CC422E">
              <w:rPr>
                <w:rFonts w:cstheme="minorHAnsi"/>
                <w:sz w:val="24"/>
                <w:szCs w:val="24"/>
              </w:rPr>
              <w:t>Paan</w:t>
            </w:r>
            <w:proofErr w:type="spellEnd"/>
            <w:r w:rsidRPr="00CC422E">
              <w:rPr>
                <w:rFonts w:cstheme="minorHAnsi"/>
                <w:sz w:val="24"/>
                <w:szCs w:val="24"/>
              </w:rPr>
              <w:t xml:space="preserve"> and </w:t>
            </w:r>
            <w:proofErr w:type="spellStart"/>
            <w:r w:rsidRPr="00CC422E">
              <w:rPr>
                <w:rFonts w:cstheme="minorHAnsi"/>
                <w:sz w:val="24"/>
                <w:szCs w:val="24"/>
              </w:rPr>
              <w:t>Gutka</w:t>
            </w:r>
            <w:proofErr w:type="spellEnd"/>
            <w:r w:rsidRPr="00CC422E">
              <w:rPr>
                <w:rFonts w:cstheme="minorHAnsi"/>
                <w:sz w:val="24"/>
                <w:szCs w:val="24"/>
              </w:rPr>
              <w:t xml:space="preserve"> Use in the United States: A Pilot Study in Bangladeshi and Indian-Gujarati Immigrants in New York City</w:t>
            </w:r>
          </w:p>
        </w:tc>
        <w:tc>
          <w:tcPr>
            <w:tcW w:w="1701" w:type="dxa"/>
          </w:tcPr>
          <w:p w14:paraId="291B02EE" w14:textId="77777777" w:rsidR="003E7975" w:rsidRPr="00B52F2B" w:rsidRDefault="003E7975" w:rsidP="00336E1E">
            <w:pPr>
              <w:rPr>
                <w:rFonts w:cstheme="minorHAnsi"/>
                <w:sz w:val="24"/>
                <w:szCs w:val="24"/>
              </w:rPr>
            </w:pPr>
            <w:r w:rsidRPr="00CC422E">
              <w:rPr>
                <w:rFonts w:cstheme="minorHAnsi"/>
                <w:sz w:val="24"/>
                <w:szCs w:val="24"/>
              </w:rPr>
              <w:t>Quantitative</w:t>
            </w:r>
          </w:p>
        </w:tc>
        <w:tc>
          <w:tcPr>
            <w:tcW w:w="1622" w:type="dxa"/>
          </w:tcPr>
          <w:p w14:paraId="0C4C22F4" w14:textId="77777777" w:rsidR="003E7975" w:rsidRDefault="003E7975" w:rsidP="00336E1E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50</w:t>
            </w:r>
          </w:p>
        </w:tc>
        <w:tc>
          <w:tcPr>
            <w:tcW w:w="1025" w:type="dxa"/>
          </w:tcPr>
          <w:p w14:paraId="5FE5B0D9" w14:textId="4CED701E" w:rsidR="003E7975" w:rsidRDefault="006454C1" w:rsidP="00336E1E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B</w:t>
            </w:r>
          </w:p>
        </w:tc>
      </w:tr>
      <w:tr w:rsidR="003E7975" w:rsidRPr="00E065CE" w14:paraId="6002EEBF" w14:textId="77777777" w:rsidTr="00336E1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 w:firstRow="1" w:lastRow="0" w:firstColumn="1" w:lastColumn="0" w:noHBand="0" w:noVBand="1"/>
        </w:tblPrEx>
        <w:trPr>
          <w:trHeight w:val="565"/>
        </w:trPr>
        <w:tc>
          <w:tcPr>
            <w:tcW w:w="891" w:type="dxa"/>
          </w:tcPr>
          <w:p w14:paraId="65FF4118" w14:textId="77777777" w:rsidR="003E7975" w:rsidRDefault="003E7975" w:rsidP="00336E1E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</w:p>
        </w:tc>
        <w:tc>
          <w:tcPr>
            <w:tcW w:w="1801" w:type="dxa"/>
          </w:tcPr>
          <w:p w14:paraId="0C7114E2" w14:textId="77777777" w:rsidR="003E7975" w:rsidRDefault="003E7975" w:rsidP="00336E1E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Croucher et al (2011)</w:t>
            </w:r>
          </w:p>
        </w:tc>
        <w:tc>
          <w:tcPr>
            <w:tcW w:w="6942" w:type="dxa"/>
          </w:tcPr>
          <w:p w14:paraId="693AC970" w14:textId="77777777" w:rsidR="003E7975" w:rsidRPr="00CC422E" w:rsidRDefault="003E7975" w:rsidP="00336E1E">
            <w:pPr>
              <w:rPr>
                <w:rFonts w:cstheme="minorHAnsi"/>
                <w:sz w:val="24"/>
                <w:szCs w:val="24"/>
              </w:rPr>
            </w:pPr>
            <w:r w:rsidRPr="007B2F12">
              <w:rPr>
                <w:rFonts w:cstheme="minorHAnsi"/>
                <w:sz w:val="24"/>
                <w:szCs w:val="24"/>
              </w:rPr>
              <w:t>Campaign awareness and oral cancer knowledge in UK resident adult Bangladeshi: a cross-sectional study</w:t>
            </w:r>
          </w:p>
        </w:tc>
        <w:tc>
          <w:tcPr>
            <w:tcW w:w="1701" w:type="dxa"/>
          </w:tcPr>
          <w:p w14:paraId="0F4EB564" w14:textId="77777777" w:rsidR="003E7975" w:rsidRPr="00CC422E" w:rsidRDefault="003E7975" w:rsidP="00336E1E">
            <w:pPr>
              <w:rPr>
                <w:rFonts w:cstheme="minorHAnsi"/>
                <w:sz w:val="24"/>
                <w:szCs w:val="24"/>
              </w:rPr>
            </w:pPr>
            <w:r w:rsidRPr="00CC422E">
              <w:rPr>
                <w:rFonts w:cstheme="minorHAnsi"/>
                <w:sz w:val="24"/>
                <w:szCs w:val="24"/>
              </w:rPr>
              <w:t>Quantitative</w:t>
            </w:r>
          </w:p>
        </w:tc>
        <w:tc>
          <w:tcPr>
            <w:tcW w:w="1622" w:type="dxa"/>
          </w:tcPr>
          <w:p w14:paraId="59917FCA" w14:textId="77777777" w:rsidR="003E7975" w:rsidRDefault="003E7975" w:rsidP="00336E1E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75</w:t>
            </w:r>
          </w:p>
        </w:tc>
        <w:tc>
          <w:tcPr>
            <w:tcW w:w="1025" w:type="dxa"/>
          </w:tcPr>
          <w:p w14:paraId="3DE046A5" w14:textId="43AC02F7" w:rsidR="003E7975" w:rsidRDefault="006454C1" w:rsidP="00336E1E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B</w:t>
            </w:r>
          </w:p>
        </w:tc>
      </w:tr>
      <w:tr w:rsidR="003E7975" w:rsidRPr="00E065CE" w14:paraId="20CF66B5" w14:textId="77777777" w:rsidTr="00336E1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 w:firstRow="1" w:lastRow="0" w:firstColumn="1" w:lastColumn="0" w:noHBand="0" w:noVBand="1"/>
        </w:tblPrEx>
        <w:trPr>
          <w:trHeight w:val="565"/>
        </w:trPr>
        <w:tc>
          <w:tcPr>
            <w:tcW w:w="891" w:type="dxa"/>
          </w:tcPr>
          <w:p w14:paraId="6B8E082D" w14:textId="77777777" w:rsidR="003E7975" w:rsidRDefault="003E7975" w:rsidP="00336E1E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7</w:t>
            </w:r>
          </w:p>
        </w:tc>
        <w:tc>
          <w:tcPr>
            <w:tcW w:w="1801" w:type="dxa"/>
          </w:tcPr>
          <w:p w14:paraId="42DC8AAD" w14:textId="77777777" w:rsidR="003E7975" w:rsidRDefault="003E7975" w:rsidP="00336E1E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Lokhande et al (2013)</w:t>
            </w:r>
          </w:p>
        </w:tc>
        <w:tc>
          <w:tcPr>
            <w:tcW w:w="6942" w:type="dxa"/>
          </w:tcPr>
          <w:p w14:paraId="21C0F115" w14:textId="77777777" w:rsidR="003E7975" w:rsidRPr="007B2F12" w:rsidRDefault="003E7975" w:rsidP="00336E1E">
            <w:pPr>
              <w:rPr>
                <w:rFonts w:cstheme="minorHAnsi"/>
                <w:sz w:val="24"/>
                <w:szCs w:val="24"/>
              </w:rPr>
            </w:pPr>
            <w:r w:rsidRPr="00BB2F0F">
              <w:rPr>
                <w:rFonts w:cstheme="minorHAnsi"/>
                <w:sz w:val="24"/>
                <w:szCs w:val="24"/>
              </w:rPr>
              <w:t>Chewing tobacco use among South-East Asian men in Auckland</w:t>
            </w:r>
          </w:p>
        </w:tc>
        <w:tc>
          <w:tcPr>
            <w:tcW w:w="1701" w:type="dxa"/>
          </w:tcPr>
          <w:p w14:paraId="01ED6B21" w14:textId="77777777" w:rsidR="003E7975" w:rsidRPr="00CC422E" w:rsidRDefault="003E7975" w:rsidP="00336E1E">
            <w:pPr>
              <w:rPr>
                <w:rFonts w:cstheme="minorHAnsi"/>
                <w:sz w:val="24"/>
                <w:szCs w:val="24"/>
              </w:rPr>
            </w:pPr>
            <w:r w:rsidRPr="00BB2F0F">
              <w:rPr>
                <w:rFonts w:cstheme="minorHAnsi"/>
                <w:sz w:val="24"/>
                <w:szCs w:val="24"/>
              </w:rPr>
              <w:t>Qualitative</w:t>
            </w:r>
          </w:p>
        </w:tc>
        <w:tc>
          <w:tcPr>
            <w:tcW w:w="1622" w:type="dxa"/>
          </w:tcPr>
          <w:p w14:paraId="0C3382D2" w14:textId="77777777" w:rsidR="003E7975" w:rsidRDefault="003E7975" w:rsidP="00336E1E">
            <w:pPr>
              <w:rPr>
                <w:rFonts w:cstheme="minorHAnsi"/>
                <w:sz w:val="24"/>
                <w:szCs w:val="24"/>
              </w:rPr>
            </w:pPr>
            <w:r w:rsidRPr="00BB2F0F">
              <w:rPr>
                <w:rFonts w:cstheme="minorHAnsi"/>
                <w:sz w:val="24"/>
                <w:szCs w:val="24"/>
              </w:rPr>
              <w:t>88.8</w:t>
            </w:r>
          </w:p>
        </w:tc>
        <w:tc>
          <w:tcPr>
            <w:tcW w:w="1025" w:type="dxa"/>
          </w:tcPr>
          <w:p w14:paraId="2F2E5DC0" w14:textId="7F5C3BCE" w:rsidR="003E7975" w:rsidRDefault="006454C1" w:rsidP="00336E1E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A</w:t>
            </w:r>
          </w:p>
        </w:tc>
      </w:tr>
      <w:tr w:rsidR="003E7975" w:rsidRPr="00E065CE" w14:paraId="53DE99C3" w14:textId="77777777" w:rsidTr="00336E1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 w:firstRow="1" w:lastRow="0" w:firstColumn="1" w:lastColumn="0" w:noHBand="0" w:noVBand="1"/>
        </w:tblPrEx>
        <w:trPr>
          <w:trHeight w:val="565"/>
        </w:trPr>
        <w:tc>
          <w:tcPr>
            <w:tcW w:w="891" w:type="dxa"/>
          </w:tcPr>
          <w:p w14:paraId="4FA401C9" w14:textId="77777777" w:rsidR="003E7975" w:rsidRDefault="003E7975" w:rsidP="00336E1E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</w:t>
            </w:r>
          </w:p>
        </w:tc>
        <w:tc>
          <w:tcPr>
            <w:tcW w:w="1801" w:type="dxa"/>
          </w:tcPr>
          <w:p w14:paraId="61E55DE9" w14:textId="77777777" w:rsidR="003E7975" w:rsidRDefault="003E7975" w:rsidP="00336E1E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Siddique et al</w:t>
            </w:r>
          </w:p>
          <w:p w14:paraId="3750ACBB" w14:textId="77777777" w:rsidR="003E7975" w:rsidRDefault="003E7975" w:rsidP="00336E1E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(2013)</w:t>
            </w:r>
          </w:p>
        </w:tc>
        <w:tc>
          <w:tcPr>
            <w:tcW w:w="6942" w:type="dxa"/>
          </w:tcPr>
          <w:p w14:paraId="2CFF49CB" w14:textId="77777777" w:rsidR="003E7975" w:rsidRPr="00F81ED2" w:rsidRDefault="003E7975" w:rsidP="00336E1E">
            <w:pPr>
              <w:rPr>
                <w:rFonts w:cstheme="minorHAnsi"/>
                <w:sz w:val="24"/>
                <w:szCs w:val="24"/>
              </w:rPr>
            </w:pPr>
            <w:r w:rsidRPr="00F81ED2">
              <w:rPr>
                <w:rFonts w:cstheme="minorHAnsi"/>
                <w:sz w:val="24"/>
                <w:szCs w:val="24"/>
              </w:rPr>
              <w:t>The impact of a community-based health education</w:t>
            </w:r>
          </w:p>
          <w:p w14:paraId="58BEABA3" w14:textId="77777777" w:rsidR="003E7975" w:rsidRPr="00BB2F0F" w:rsidRDefault="003E7975" w:rsidP="00336E1E">
            <w:pPr>
              <w:rPr>
                <w:rFonts w:cstheme="minorHAnsi"/>
                <w:sz w:val="24"/>
                <w:szCs w:val="24"/>
              </w:rPr>
            </w:pPr>
            <w:r w:rsidRPr="00F81ED2">
              <w:rPr>
                <w:rFonts w:cstheme="minorHAnsi"/>
                <w:sz w:val="24"/>
                <w:szCs w:val="24"/>
              </w:rPr>
              <w:t>programme on oral cancer risk factor awareness among a Gujarati community</w:t>
            </w:r>
          </w:p>
        </w:tc>
        <w:tc>
          <w:tcPr>
            <w:tcW w:w="1701" w:type="dxa"/>
          </w:tcPr>
          <w:p w14:paraId="25CB8394" w14:textId="77777777" w:rsidR="003E7975" w:rsidRPr="00BB2F0F" w:rsidRDefault="003E7975" w:rsidP="00336E1E">
            <w:pPr>
              <w:rPr>
                <w:rFonts w:cstheme="minorHAnsi"/>
                <w:sz w:val="24"/>
                <w:szCs w:val="24"/>
              </w:rPr>
            </w:pPr>
            <w:r w:rsidRPr="00B52F2B">
              <w:rPr>
                <w:rFonts w:cstheme="minorHAnsi"/>
                <w:sz w:val="24"/>
                <w:szCs w:val="24"/>
              </w:rPr>
              <w:t>Quantitative</w:t>
            </w:r>
          </w:p>
        </w:tc>
        <w:tc>
          <w:tcPr>
            <w:tcW w:w="1622" w:type="dxa"/>
          </w:tcPr>
          <w:p w14:paraId="0B8385CF" w14:textId="77777777" w:rsidR="003E7975" w:rsidRPr="00BB2F0F" w:rsidRDefault="003E7975" w:rsidP="00336E1E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62.5</w:t>
            </w:r>
          </w:p>
        </w:tc>
        <w:tc>
          <w:tcPr>
            <w:tcW w:w="1025" w:type="dxa"/>
          </w:tcPr>
          <w:p w14:paraId="4FB0FCC9" w14:textId="17541B5A" w:rsidR="003E7975" w:rsidRDefault="006454C1" w:rsidP="00336E1E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B</w:t>
            </w:r>
          </w:p>
        </w:tc>
      </w:tr>
      <w:tr w:rsidR="003E7975" w:rsidRPr="00E065CE" w14:paraId="5E468413" w14:textId="77777777" w:rsidTr="00336E1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 w:firstRow="1" w:lastRow="0" w:firstColumn="1" w:lastColumn="0" w:noHBand="0" w:noVBand="1"/>
        </w:tblPrEx>
        <w:trPr>
          <w:trHeight w:val="565"/>
        </w:trPr>
        <w:tc>
          <w:tcPr>
            <w:tcW w:w="891" w:type="dxa"/>
          </w:tcPr>
          <w:p w14:paraId="1DBDB984" w14:textId="77777777" w:rsidR="003E7975" w:rsidRDefault="003E7975" w:rsidP="00336E1E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</w:t>
            </w:r>
          </w:p>
        </w:tc>
        <w:tc>
          <w:tcPr>
            <w:tcW w:w="1801" w:type="dxa"/>
          </w:tcPr>
          <w:p w14:paraId="1282B11B" w14:textId="77777777" w:rsidR="003E7975" w:rsidRDefault="003E7975" w:rsidP="00336E1E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Banerjee et al (2014)</w:t>
            </w:r>
          </w:p>
        </w:tc>
        <w:tc>
          <w:tcPr>
            <w:tcW w:w="6942" w:type="dxa"/>
          </w:tcPr>
          <w:p w14:paraId="3AD11C78" w14:textId="77777777" w:rsidR="003E7975" w:rsidRPr="00BB2F0F" w:rsidRDefault="003E7975" w:rsidP="00336E1E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BB2F0F">
              <w:rPr>
                <w:rFonts w:cstheme="minorHAnsi"/>
                <w:sz w:val="24"/>
                <w:szCs w:val="24"/>
              </w:rPr>
              <w:t>Gutka</w:t>
            </w:r>
            <w:proofErr w:type="spellEnd"/>
            <w:r w:rsidRPr="00BB2F0F">
              <w:rPr>
                <w:rFonts w:cstheme="minorHAnsi"/>
                <w:sz w:val="24"/>
                <w:szCs w:val="24"/>
              </w:rPr>
              <w:t xml:space="preserve"> and Tambaku </w:t>
            </w:r>
            <w:proofErr w:type="spellStart"/>
            <w:r w:rsidRPr="00BB2F0F">
              <w:rPr>
                <w:rFonts w:cstheme="minorHAnsi"/>
                <w:sz w:val="24"/>
                <w:szCs w:val="24"/>
              </w:rPr>
              <w:t>Paan</w:t>
            </w:r>
            <w:proofErr w:type="spellEnd"/>
            <w:r w:rsidRPr="00BB2F0F">
              <w:rPr>
                <w:rFonts w:cstheme="minorHAnsi"/>
                <w:sz w:val="24"/>
                <w:szCs w:val="24"/>
              </w:rPr>
              <w:t xml:space="preserve"> Use Among South Asian Immigrants: A Focus Group Study</w:t>
            </w:r>
          </w:p>
        </w:tc>
        <w:tc>
          <w:tcPr>
            <w:tcW w:w="1701" w:type="dxa"/>
          </w:tcPr>
          <w:p w14:paraId="033E0243" w14:textId="77777777" w:rsidR="003E7975" w:rsidRPr="00BB2F0F" w:rsidRDefault="003E7975" w:rsidP="00336E1E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Qualitative</w:t>
            </w:r>
          </w:p>
        </w:tc>
        <w:tc>
          <w:tcPr>
            <w:tcW w:w="1622" w:type="dxa"/>
          </w:tcPr>
          <w:p w14:paraId="7CE96F92" w14:textId="77777777" w:rsidR="003E7975" w:rsidRPr="00BB2F0F" w:rsidRDefault="003E7975" w:rsidP="00336E1E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88.8</w:t>
            </w:r>
          </w:p>
        </w:tc>
        <w:tc>
          <w:tcPr>
            <w:tcW w:w="1025" w:type="dxa"/>
          </w:tcPr>
          <w:p w14:paraId="226A2CD4" w14:textId="685B025D" w:rsidR="003E7975" w:rsidRDefault="006454C1" w:rsidP="00336E1E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A</w:t>
            </w:r>
          </w:p>
        </w:tc>
      </w:tr>
      <w:tr w:rsidR="003E7975" w:rsidRPr="00E065CE" w14:paraId="1479E166" w14:textId="77777777" w:rsidTr="00336E1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 w:firstRow="1" w:lastRow="0" w:firstColumn="1" w:lastColumn="0" w:noHBand="0" w:noVBand="1"/>
        </w:tblPrEx>
        <w:trPr>
          <w:trHeight w:val="565"/>
        </w:trPr>
        <w:tc>
          <w:tcPr>
            <w:tcW w:w="891" w:type="dxa"/>
          </w:tcPr>
          <w:p w14:paraId="5245BC8B" w14:textId="77777777" w:rsidR="003E7975" w:rsidRPr="00E065CE" w:rsidRDefault="003E7975" w:rsidP="00336E1E">
            <w:pPr>
              <w:rPr>
                <w:rFonts w:cstheme="minorHAnsi"/>
                <w:sz w:val="24"/>
                <w:szCs w:val="24"/>
              </w:rPr>
            </w:pPr>
            <w:r w:rsidRPr="00E065CE">
              <w:rPr>
                <w:rFonts w:cstheme="minorHAnsi"/>
                <w:sz w:val="24"/>
                <w:szCs w:val="24"/>
              </w:rPr>
              <w:t>1</w:t>
            </w:r>
            <w:r>
              <w:rPr>
                <w:rFonts w:cstheme="minorHAnsi"/>
                <w:sz w:val="24"/>
                <w:szCs w:val="24"/>
              </w:rPr>
              <w:t>0</w:t>
            </w:r>
          </w:p>
        </w:tc>
        <w:tc>
          <w:tcPr>
            <w:tcW w:w="1801" w:type="dxa"/>
          </w:tcPr>
          <w:p w14:paraId="585F130F" w14:textId="77777777" w:rsidR="003E7975" w:rsidRDefault="003E7975" w:rsidP="00336E1E">
            <w:pPr>
              <w:rPr>
                <w:rFonts w:cstheme="minorHAnsi"/>
                <w:sz w:val="24"/>
                <w:szCs w:val="24"/>
              </w:rPr>
            </w:pPr>
            <w:r w:rsidRPr="00E065CE">
              <w:rPr>
                <w:rFonts w:cstheme="minorHAnsi"/>
                <w:sz w:val="24"/>
                <w:szCs w:val="24"/>
              </w:rPr>
              <w:t>Hrywna et al</w:t>
            </w:r>
          </w:p>
          <w:p w14:paraId="526B1C3C" w14:textId="77777777" w:rsidR="003E7975" w:rsidRPr="00E065CE" w:rsidRDefault="003E7975" w:rsidP="00336E1E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(2016)</w:t>
            </w:r>
          </w:p>
        </w:tc>
        <w:tc>
          <w:tcPr>
            <w:tcW w:w="6942" w:type="dxa"/>
          </w:tcPr>
          <w:p w14:paraId="72271850" w14:textId="77777777" w:rsidR="003E7975" w:rsidRPr="00E065CE" w:rsidRDefault="003E7975" w:rsidP="00336E1E">
            <w:pPr>
              <w:rPr>
                <w:rFonts w:cstheme="minorHAnsi"/>
                <w:sz w:val="24"/>
                <w:szCs w:val="24"/>
              </w:rPr>
            </w:pPr>
            <w:r w:rsidRPr="00E065CE">
              <w:rPr>
                <w:rFonts w:cstheme="minorHAnsi"/>
                <w:sz w:val="24"/>
                <w:szCs w:val="24"/>
              </w:rPr>
              <w:t>Awareness and Use of South Asian Tobacco Products Among South Asians in New Jersey</w:t>
            </w:r>
          </w:p>
        </w:tc>
        <w:tc>
          <w:tcPr>
            <w:tcW w:w="1701" w:type="dxa"/>
          </w:tcPr>
          <w:p w14:paraId="60DCB231" w14:textId="77777777" w:rsidR="003E7975" w:rsidRPr="00E065CE" w:rsidRDefault="003E7975" w:rsidP="00336E1E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Qualitative</w:t>
            </w:r>
          </w:p>
        </w:tc>
        <w:tc>
          <w:tcPr>
            <w:tcW w:w="1622" w:type="dxa"/>
          </w:tcPr>
          <w:p w14:paraId="0DACE8D5" w14:textId="77777777" w:rsidR="003E7975" w:rsidRPr="00E065CE" w:rsidRDefault="003E7975" w:rsidP="00336E1E">
            <w:pPr>
              <w:rPr>
                <w:rFonts w:cstheme="minorHAnsi"/>
                <w:sz w:val="24"/>
                <w:szCs w:val="24"/>
              </w:rPr>
            </w:pPr>
            <w:r w:rsidRPr="00E065CE">
              <w:rPr>
                <w:rFonts w:cstheme="minorHAnsi"/>
                <w:sz w:val="24"/>
                <w:szCs w:val="24"/>
              </w:rPr>
              <w:t>77.7</w:t>
            </w:r>
          </w:p>
        </w:tc>
        <w:tc>
          <w:tcPr>
            <w:tcW w:w="1025" w:type="dxa"/>
          </w:tcPr>
          <w:p w14:paraId="3D6CDD7D" w14:textId="109809C4" w:rsidR="003E7975" w:rsidRPr="00E065CE" w:rsidRDefault="006454C1" w:rsidP="00336E1E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B</w:t>
            </w:r>
          </w:p>
        </w:tc>
      </w:tr>
      <w:tr w:rsidR="003E7975" w:rsidRPr="00E065CE" w14:paraId="25B35530" w14:textId="77777777" w:rsidTr="00336E1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 w:firstRow="1" w:lastRow="0" w:firstColumn="1" w:lastColumn="0" w:noHBand="0" w:noVBand="1"/>
        </w:tblPrEx>
        <w:trPr>
          <w:trHeight w:val="565"/>
        </w:trPr>
        <w:tc>
          <w:tcPr>
            <w:tcW w:w="891" w:type="dxa"/>
          </w:tcPr>
          <w:p w14:paraId="22C8C97E" w14:textId="77777777" w:rsidR="003E7975" w:rsidRPr="00E065CE" w:rsidRDefault="003E7975" w:rsidP="00336E1E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1801" w:type="dxa"/>
          </w:tcPr>
          <w:p w14:paraId="0BE6AC89" w14:textId="77777777" w:rsidR="003E7975" w:rsidRDefault="003E7975" w:rsidP="00336E1E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Merchant et al</w:t>
            </w:r>
          </w:p>
          <w:p w14:paraId="2B75BB5E" w14:textId="77777777" w:rsidR="003E7975" w:rsidRPr="00E065CE" w:rsidRDefault="003E7975" w:rsidP="00336E1E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(2016)</w:t>
            </w:r>
          </w:p>
        </w:tc>
        <w:tc>
          <w:tcPr>
            <w:tcW w:w="6942" w:type="dxa"/>
          </w:tcPr>
          <w:p w14:paraId="5EA1D672" w14:textId="77777777" w:rsidR="003E7975" w:rsidRPr="00E065CE" w:rsidRDefault="003E7975" w:rsidP="00336E1E">
            <w:pPr>
              <w:rPr>
                <w:rFonts w:cstheme="minorHAnsi"/>
                <w:sz w:val="24"/>
                <w:szCs w:val="24"/>
              </w:rPr>
            </w:pPr>
            <w:r w:rsidRPr="008C188D">
              <w:rPr>
                <w:rFonts w:cstheme="minorHAnsi"/>
                <w:color w:val="000000" w:themeColor="text1"/>
                <w:sz w:val="24"/>
                <w:szCs w:val="24"/>
              </w:rPr>
              <w:t>Oral cancer awareness in young South-Asian communities in London</w:t>
            </w:r>
          </w:p>
        </w:tc>
        <w:tc>
          <w:tcPr>
            <w:tcW w:w="1701" w:type="dxa"/>
          </w:tcPr>
          <w:p w14:paraId="01ACB054" w14:textId="77777777" w:rsidR="003E7975" w:rsidRDefault="003E7975" w:rsidP="00336E1E">
            <w:pPr>
              <w:rPr>
                <w:rFonts w:cstheme="minorHAnsi"/>
                <w:sz w:val="24"/>
                <w:szCs w:val="24"/>
              </w:rPr>
            </w:pPr>
            <w:r w:rsidRPr="00B52F2B">
              <w:rPr>
                <w:rFonts w:cstheme="minorHAnsi"/>
                <w:sz w:val="24"/>
                <w:szCs w:val="24"/>
              </w:rPr>
              <w:t>Quantitative</w:t>
            </w:r>
          </w:p>
        </w:tc>
        <w:tc>
          <w:tcPr>
            <w:tcW w:w="1622" w:type="dxa"/>
          </w:tcPr>
          <w:p w14:paraId="58F542FB" w14:textId="77777777" w:rsidR="003E7975" w:rsidRPr="00E065CE" w:rsidRDefault="003E7975" w:rsidP="00336E1E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50</w:t>
            </w:r>
          </w:p>
        </w:tc>
        <w:tc>
          <w:tcPr>
            <w:tcW w:w="1025" w:type="dxa"/>
          </w:tcPr>
          <w:p w14:paraId="5417876D" w14:textId="30A691DF" w:rsidR="003E7975" w:rsidRDefault="006454C1" w:rsidP="00336E1E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B</w:t>
            </w:r>
          </w:p>
        </w:tc>
      </w:tr>
      <w:tr w:rsidR="003E7975" w:rsidRPr="00E065CE" w14:paraId="485A0080" w14:textId="77777777" w:rsidTr="00336E1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 w:firstRow="1" w:lastRow="0" w:firstColumn="1" w:lastColumn="0" w:noHBand="0" w:noVBand="1"/>
        </w:tblPrEx>
        <w:trPr>
          <w:trHeight w:val="523"/>
        </w:trPr>
        <w:tc>
          <w:tcPr>
            <w:tcW w:w="891" w:type="dxa"/>
          </w:tcPr>
          <w:p w14:paraId="6BD7DE30" w14:textId="77777777" w:rsidR="003E7975" w:rsidRPr="00E065CE" w:rsidRDefault="003E7975" w:rsidP="00336E1E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lastRenderedPageBreak/>
              <w:t>12</w:t>
            </w:r>
          </w:p>
        </w:tc>
        <w:tc>
          <w:tcPr>
            <w:tcW w:w="1801" w:type="dxa"/>
          </w:tcPr>
          <w:p w14:paraId="5373C9C7" w14:textId="77777777" w:rsidR="003E7975" w:rsidRDefault="003E7975" w:rsidP="00336E1E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Shi et al</w:t>
            </w:r>
          </w:p>
          <w:p w14:paraId="1C10B854" w14:textId="77777777" w:rsidR="003E7975" w:rsidRPr="00E065CE" w:rsidRDefault="003E7975" w:rsidP="00336E1E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(2017)</w:t>
            </w:r>
          </w:p>
        </w:tc>
        <w:tc>
          <w:tcPr>
            <w:tcW w:w="6942" w:type="dxa"/>
          </w:tcPr>
          <w:p w14:paraId="487C2A9C" w14:textId="77777777" w:rsidR="003E7975" w:rsidRPr="00E065CE" w:rsidRDefault="003E7975" w:rsidP="00336E1E">
            <w:pPr>
              <w:rPr>
                <w:rFonts w:cstheme="minorHAnsi"/>
                <w:sz w:val="24"/>
                <w:szCs w:val="24"/>
              </w:rPr>
            </w:pPr>
            <w:r w:rsidRPr="00B52F2B">
              <w:rPr>
                <w:rFonts w:cstheme="minorHAnsi"/>
                <w:sz w:val="24"/>
                <w:szCs w:val="24"/>
              </w:rPr>
              <w:t>Betel Quid Use and Oral Cancer in a High-Risk Refugee Community in the USA: The Effectiveness of an Awareness Initiative</w:t>
            </w:r>
          </w:p>
        </w:tc>
        <w:tc>
          <w:tcPr>
            <w:tcW w:w="1701" w:type="dxa"/>
          </w:tcPr>
          <w:p w14:paraId="5E7B7012" w14:textId="77777777" w:rsidR="003E7975" w:rsidRPr="00E065CE" w:rsidRDefault="003E7975" w:rsidP="00336E1E">
            <w:pPr>
              <w:rPr>
                <w:rFonts w:cstheme="minorHAnsi"/>
                <w:sz w:val="24"/>
                <w:szCs w:val="24"/>
              </w:rPr>
            </w:pPr>
            <w:r w:rsidRPr="00B52F2B">
              <w:rPr>
                <w:rFonts w:cstheme="minorHAnsi"/>
                <w:sz w:val="24"/>
                <w:szCs w:val="24"/>
              </w:rPr>
              <w:t>Quantitative</w:t>
            </w:r>
          </w:p>
        </w:tc>
        <w:tc>
          <w:tcPr>
            <w:tcW w:w="1622" w:type="dxa"/>
          </w:tcPr>
          <w:p w14:paraId="408754BB" w14:textId="77777777" w:rsidR="003E7975" w:rsidRPr="00E065CE" w:rsidRDefault="003E7975" w:rsidP="00336E1E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37.5</w:t>
            </w:r>
          </w:p>
        </w:tc>
        <w:tc>
          <w:tcPr>
            <w:tcW w:w="1025" w:type="dxa"/>
          </w:tcPr>
          <w:p w14:paraId="22CA5CE2" w14:textId="32483C9F" w:rsidR="003E7975" w:rsidRPr="00E065CE" w:rsidRDefault="006454C1" w:rsidP="00336E1E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C</w:t>
            </w:r>
          </w:p>
        </w:tc>
      </w:tr>
      <w:tr w:rsidR="003E7975" w:rsidRPr="00E065CE" w14:paraId="6D88B8A3" w14:textId="77777777" w:rsidTr="00336E1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 w:firstRow="1" w:lastRow="0" w:firstColumn="1" w:lastColumn="0" w:noHBand="0" w:noVBand="1"/>
        </w:tblPrEx>
        <w:trPr>
          <w:trHeight w:val="497"/>
        </w:trPr>
        <w:tc>
          <w:tcPr>
            <w:tcW w:w="891" w:type="dxa"/>
          </w:tcPr>
          <w:p w14:paraId="3FD20365" w14:textId="77777777" w:rsidR="003E7975" w:rsidRPr="00E065CE" w:rsidRDefault="003E7975" w:rsidP="00336E1E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13</w:t>
            </w:r>
          </w:p>
        </w:tc>
        <w:tc>
          <w:tcPr>
            <w:tcW w:w="1801" w:type="dxa"/>
          </w:tcPr>
          <w:p w14:paraId="76D90BCF" w14:textId="77777777" w:rsidR="003E7975" w:rsidRPr="00E065CE" w:rsidRDefault="003E7975" w:rsidP="00336E1E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Mukherjea et al (2018)</w:t>
            </w:r>
          </w:p>
        </w:tc>
        <w:tc>
          <w:tcPr>
            <w:tcW w:w="6942" w:type="dxa"/>
          </w:tcPr>
          <w:p w14:paraId="7FA70765" w14:textId="77777777" w:rsidR="003E7975" w:rsidRPr="00E065CE" w:rsidRDefault="003E7975" w:rsidP="00336E1E">
            <w:pPr>
              <w:rPr>
                <w:rFonts w:cstheme="minorHAnsi"/>
                <w:sz w:val="24"/>
                <w:szCs w:val="24"/>
              </w:rPr>
            </w:pPr>
            <w:r w:rsidRPr="007B2F12">
              <w:rPr>
                <w:rFonts w:cstheme="minorHAnsi"/>
                <w:sz w:val="24"/>
                <w:szCs w:val="24"/>
              </w:rPr>
              <w:t>Moving Toward a True Depiction of Tobacco Behavio</w:t>
            </w:r>
            <w:r>
              <w:rPr>
                <w:rFonts w:cstheme="minorHAnsi"/>
                <w:sz w:val="24"/>
                <w:szCs w:val="24"/>
              </w:rPr>
              <w:t>u</w:t>
            </w:r>
            <w:r w:rsidRPr="007B2F12">
              <w:rPr>
                <w:rFonts w:cstheme="minorHAnsi"/>
                <w:sz w:val="24"/>
                <w:szCs w:val="24"/>
              </w:rPr>
              <w:t>r Among Asian Indians in California: Prevalence and Factors Associated with Cultural Smokeless Tobacco Product Use</w:t>
            </w:r>
          </w:p>
        </w:tc>
        <w:tc>
          <w:tcPr>
            <w:tcW w:w="1701" w:type="dxa"/>
          </w:tcPr>
          <w:p w14:paraId="45D3AFFE" w14:textId="77777777" w:rsidR="003E7975" w:rsidRPr="00E065CE" w:rsidRDefault="003E7975" w:rsidP="00336E1E">
            <w:pPr>
              <w:rPr>
                <w:rFonts w:cstheme="minorHAnsi"/>
                <w:sz w:val="24"/>
                <w:szCs w:val="24"/>
              </w:rPr>
            </w:pPr>
            <w:r w:rsidRPr="007B2F12">
              <w:rPr>
                <w:rFonts w:cstheme="minorHAnsi"/>
                <w:sz w:val="24"/>
                <w:szCs w:val="24"/>
              </w:rPr>
              <w:t>Quantitative</w:t>
            </w:r>
          </w:p>
        </w:tc>
        <w:tc>
          <w:tcPr>
            <w:tcW w:w="1622" w:type="dxa"/>
          </w:tcPr>
          <w:p w14:paraId="65137851" w14:textId="77777777" w:rsidR="003E7975" w:rsidRPr="00E065CE" w:rsidRDefault="003E7975" w:rsidP="00336E1E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37.5</w:t>
            </w:r>
          </w:p>
        </w:tc>
        <w:tc>
          <w:tcPr>
            <w:tcW w:w="1025" w:type="dxa"/>
          </w:tcPr>
          <w:p w14:paraId="36FB9B7C" w14:textId="79A6E2F5" w:rsidR="003E7975" w:rsidRPr="00E065CE" w:rsidRDefault="006454C1" w:rsidP="00336E1E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C</w:t>
            </w:r>
          </w:p>
        </w:tc>
      </w:tr>
      <w:tr w:rsidR="003E7975" w:rsidRPr="00E065CE" w14:paraId="08C5E257" w14:textId="77777777" w:rsidTr="00336E1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 w:firstRow="1" w:lastRow="0" w:firstColumn="1" w:lastColumn="0" w:noHBand="0" w:noVBand="1"/>
        </w:tblPrEx>
        <w:trPr>
          <w:trHeight w:val="497"/>
        </w:trPr>
        <w:tc>
          <w:tcPr>
            <w:tcW w:w="891" w:type="dxa"/>
          </w:tcPr>
          <w:p w14:paraId="31204831" w14:textId="77777777" w:rsidR="003E7975" w:rsidRDefault="003E7975" w:rsidP="00336E1E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14</w:t>
            </w:r>
          </w:p>
        </w:tc>
        <w:tc>
          <w:tcPr>
            <w:tcW w:w="1801" w:type="dxa"/>
          </w:tcPr>
          <w:p w14:paraId="3E7E46C2" w14:textId="77777777" w:rsidR="003E7975" w:rsidRDefault="003E7975" w:rsidP="00336E1E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Petti et al</w:t>
            </w:r>
          </w:p>
          <w:p w14:paraId="0D6D5AD8" w14:textId="77777777" w:rsidR="003E7975" w:rsidRDefault="003E7975" w:rsidP="00336E1E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(2018)</w:t>
            </w:r>
          </w:p>
        </w:tc>
        <w:tc>
          <w:tcPr>
            <w:tcW w:w="6942" w:type="dxa"/>
          </w:tcPr>
          <w:p w14:paraId="3742C631" w14:textId="77777777" w:rsidR="003E7975" w:rsidRPr="007B2F12" w:rsidRDefault="003E7975" w:rsidP="00336E1E">
            <w:pPr>
              <w:rPr>
                <w:rFonts w:cstheme="minorHAnsi"/>
                <w:sz w:val="24"/>
                <w:szCs w:val="24"/>
              </w:rPr>
            </w:pPr>
            <w:r w:rsidRPr="00C27E72">
              <w:rPr>
                <w:rFonts w:cstheme="minorHAnsi"/>
                <w:sz w:val="24"/>
                <w:szCs w:val="24"/>
              </w:rPr>
              <w:t>Betel quid chewing among adult male immigrants from the Indian subcontinent to Italy</w:t>
            </w:r>
          </w:p>
        </w:tc>
        <w:tc>
          <w:tcPr>
            <w:tcW w:w="1701" w:type="dxa"/>
          </w:tcPr>
          <w:p w14:paraId="17BA28B5" w14:textId="77777777" w:rsidR="003E7975" w:rsidRPr="007B2F12" w:rsidRDefault="003E7975" w:rsidP="00336E1E">
            <w:pPr>
              <w:rPr>
                <w:rFonts w:cstheme="minorHAnsi"/>
                <w:sz w:val="24"/>
                <w:szCs w:val="24"/>
              </w:rPr>
            </w:pPr>
            <w:r w:rsidRPr="007B2F12">
              <w:rPr>
                <w:rFonts w:cstheme="minorHAnsi"/>
                <w:sz w:val="24"/>
                <w:szCs w:val="24"/>
              </w:rPr>
              <w:t>Quantitative</w:t>
            </w:r>
          </w:p>
        </w:tc>
        <w:tc>
          <w:tcPr>
            <w:tcW w:w="1622" w:type="dxa"/>
          </w:tcPr>
          <w:p w14:paraId="5BB8789A" w14:textId="77777777" w:rsidR="003E7975" w:rsidRDefault="003E7975" w:rsidP="00336E1E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75</w:t>
            </w:r>
          </w:p>
        </w:tc>
        <w:tc>
          <w:tcPr>
            <w:tcW w:w="1025" w:type="dxa"/>
          </w:tcPr>
          <w:p w14:paraId="4EF78569" w14:textId="304E8CA6" w:rsidR="003E7975" w:rsidRDefault="006454C1" w:rsidP="00336E1E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B</w:t>
            </w:r>
          </w:p>
        </w:tc>
      </w:tr>
    </w:tbl>
    <w:p w14:paraId="22634F9E" w14:textId="61B54F83" w:rsidR="00E065CE" w:rsidRPr="003E7975" w:rsidRDefault="00E065CE" w:rsidP="00E065CE">
      <w:pPr>
        <w:rPr>
          <w:rFonts w:ascii="Arial" w:hAnsi="Arial" w:cs="Arial"/>
          <w:b/>
          <w:bCs/>
          <w:color w:val="00B050"/>
          <w:sz w:val="28"/>
          <w:szCs w:val="28"/>
        </w:rPr>
      </w:pPr>
      <w:r w:rsidRPr="001B6F76">
        <w:rPr>
          <w:rFonts w:ascii="Arial" w:hAnsi="Arial" w:cs="Arial"/>
          <w:b/>
          <w:bCs/>
          <w:color w:val="00B050"/>
          <w:sz w:val="28"/>
          <w:szCs w:val="28"/>
        </w:rPr>
        <w:t xml:space="preserve">                                            </w:t>
      </w:r>
    </w:p>
    <w:p w14:paraId="56F22362" w14:textId="77777777" w:rsidR="00E065CE" w:rsidRDefault="00E065CE" w:rsidP="00E065CE">
      <w:pPr>
        <w:rPr>
          <w:rFonts w:ascii="Rockwell" w:hAnsi="Rockwell"/>
          <w:color w:val="0070C0"/>
          <w:sz w:val="28"/>
          <w:szCs w:val="28"/>
          <w:u w:val="single"/>
        </w:rPr>
      </w:pPr>
    </w:p>
    <w:p w14:paraId="22444F47" w14:textId="77777777" w:rsidR="008C188D" w:rsidRDefault="008C188D" w:rsidP="00E065CE">
      <w:pPr>
        <w:rPr>
          <w:rFonts w:ascii="Rockwell" w:hAnsi="Rockwell"/>
          <w:color w:val="0070C0"/>
          <w:sz w:val="28"/>
          <w:szCs w:val="28"/>
          <w:u w:val="single"/>
        </w:rPr>
      </w:pPr>
    </w:p>
    <w:p w14:paraId="31A2271E" w14:textId="77777777" w:rsidR="008C188D" w:rsidRDefault="008C188D" w:rsidP="00E065CE">
      <w:pPr>
        <w:rPr>
          <w:rFonts w:ascii="Rockwell" w:hAnsi="Rockwell"/>
          <w:color w:val="0070C0"/>
          <w:sz w:val="28"/>
          <w:szCs w:val="28"/>
          <w:u w:val="single"/>
        </w:rPr>
      </w:pPr>
    </w:p>
    <w:p w14:paraId="34C378F3" w14:textId="77777777" w:rsidR="008C188D" w:rsidRDefault="008C188D" w:rsidP="00E065CE">
      <w:pPr>
        <w:rPr>
          <w:rFonts w:ascii="Rockwell" w:hAnsi="Rockwell"/>
          <w:color w:val="0070C0"/>
          <w:sz w:val="28"/>
          <w:szCs w:val="28"/>
          <w:u w:val="single"/>
        </w:rPr>
      </w:pPr>
    </w:p>
    <w:p w14:paraId="4A03CDF4" w14:textId="169430E7" w:rsidR="008C188D" w:rsidRDefault="008C188D" w:rsidP="00E065CE">
      <w:pPr>
        <w:rPr>
          <w:rFonts w:cstheme="minorHAnsi"/>
          <w:color w:val="0070C0"/>
          <w:sz w:val="24"/>
          <w:szCs w:val="24"/>
        </w:rPr>
      </w:pPr>
      <w:r w:rsidRPr="008C188D">
        <w:rPr>
          <w:rFonts w:cstheme="minorHAnsi"/>
          <w:color w:val="0070C0"/>
          <w:sz w:val="24"/>
          <w:szCs w:val="24"/>
        </w:rPr>
        <w:t>Note:</w:t>
      </w:r>
      <w:r w:rsidR="008834A5">
        <w:rPr>
          <w:rFonts w:cstheme="minorHAnsi"/>
          <w:color w:val="0070C0"/>
          <w:sz w:val="24"/>
          <w:szCs w:val="24"/>
        </w:rPr>
        <w:t xml:space="preserve"> </w:t>
      </w:r>
      <w:r w:rsidR="006454C1">
        <w:rPr>
          <w:rFonts w:cstheme="minorHAnsi"/>
          <w:color w:val="0070C0"/>
          <w:sz w:val="24"/>
          <w:szCs w:val="24"/>
        </w:rPr>
        <w:t>A</w:t>
      </w:r>
      <w:r w:rsidR="008834A5">
        <w:rPr>
          <w:rFonts w:cstheme="minorHAnsi"/>
          <w:color w:val="0070C0"/>
          <w:sz w:val="24"/>
          <w:szCs w:val="24"/>
        </w:rPr>
        <w:t xml:space="preserve"> or good quality (8</w:t>
      </w:r>
      <w:r w:rsidR="00E664A8">
        <w:rPr>
          <w:rFonts w:cstheme="minorHAnsi"/>
          <w:color w:val="0070C0"/>
          <w:sz w:val="24"/>
          <w:szCs w:val="24"/>
        </w:rPr>
        <w:t>0</w:t>
      </w:r>
      <w:r w:rsidR="008834A5">
        <w:rPr>
          <w:rFonts w:cstheme="minorHAnsi"/>
          <w:color w:val="0070C0"/>
          <w:sz w:val="24"/>
          <w:szCs w:val="24"/>
        </w:rPr>
        <w:t xml:space="preserve">-100%); </w:t>
      </w:r>
      <w:r w:rsidR="006454C1">
        <w:rPr>
          <w:rFonts w:cstheme="minorHAnsi"/>
          <w:color w:val="0070C0"/>
          <w:sz w:val="24"/>
          <w:szCs w:val="24"/>
        </w:rPr>
        <w:t>B</w:t>
      </w:r>
      <w:r w:rsidR="008834A5">
        <w:rPr>
          <w:rFonts w:cstheme="minorHAnsi"/>
          <w:color w:val="0070C0"/>
          <w:sz w:val="24"/>
          <w:szCs w:val="24"/>
        </w:rPr>
        <w:t xml:space="preserve"> or fair quality (</w:t>
      </w:r>
      <w:r w:rsidR="00E664A8">
        <w:rPr>
          <w:rFonts w:cstheme="minorHAnsi"/>
          <w:color w:val="0070C0"/>
          <w:sz w:val="24"/>
          <w:szCs w:val="24"/>
        </w:rPr>
        <w:t>50</w:t>
      </w:r>
      <w:r w:rsidR="008834A5">
        <w:rPr>
          <w:rFonts w:cstheme="minorHAnsi"/>
          <w:color w:val="0070C0"/>
          <w:sz w:val="24"/>
          <w:szCs w:val="24"/>
        </w:rPr>
        <w:t>-7</w:t>
      </w:r>
      <w:r w:rsidR="00E664A8">
        <w:rPr>
          <w:rFonts w:cstheme="minorHAnsi"/>
          <w:color w:val="0070C0"/>
          <w:sz w:val="24"/>
          <w:szCs w:val="24"/>
        </w:rPr>
        <w:t>9</w:t>
      </w:r>
      <w:r w:rsidR="008834A5">
        <w:rPr>
          <w:rFonts w:cstheme="minorHAnsi"/>
          <w:color w:val="0070C0"/>
          <w:sz w:val="24"/>
          <w:szCs w:val="24"/>
        </w:rPr>
        <w:t>%)</w:t>
      </w:r>
      <w:r w:rsidR="00D06A52">
        <w:rPr>
          <w:rFonts w:cstheme="minorHAnsi"/>
          <w:color w:val="0070C0"/>
          <w:sz w:val="24"/>
          <w:szCs w:val="24"/>
        </w:rPr>
        <w:t xml:space="preserve">; </w:t>
      </w:r>
      <w:r w:rsidR="006454C1">
        <w:rPr>
          <w:rFonts w:cstheme="minorHAnsi"/>
          <w:color w:val="0070C0"/>
          <w:sz w:val="24"/>
          <w:szCs w:val="24"/>
        </w:rPr>
        <w:t>C</w:t>
      </w:r>
      <w:r w:rsidR="008825C4">
        <w:rPr>
          <w:rFonts w:cstheme="minorHAnsi"/>
          <w:color w:val="0070C0"/>
          <w:sz w:val="24"/>
          <w:szCs w:val="24"/>
        </w:rPr>
        <w:t xml:space="preserve"> </w:t>
      </w:r>
      <w:r w:rsidR="008834A5">
        <w:rPr>
          <w:rFonts w:cstheme="minorHAnsi"/>
          <w:color w:val="0070C0"/>
          <w:sz w:val="24"/>
          <w:szCs w:val="24"/>
        </w:rPr>
        <w:t>or poor quality (&lt;50%)</w:t>
      </w:r>
    </w:p>
    <w:p w14:paraId="0F00F504" w14:textId="77777777" w:rsidR="00606A25" w:rsidRPr="008C188D" w:rsidRDefault="00606A25" w:rsidP="00E065CE">
      <w:pPr>
        <w:rPr>
          <w:rFonts w:cstheme="minorHAnsi"/>
          <w:color w:val="0070C0"/>
          <w:sz w:val="24"/>
          <w:szCs w:val="24"/>
        </w:rPr>
      </w:pPr>
      <w:r>
        <w:t xml:space="preserve">Reference: </w:t>
      </w:r>
      <w:r w:rsidRPr="00446235">
        <w:t>Goldsmith MR, Bankhead CR, Austoker J. Synthesising quantitative and qualitative research in evidence-based patient information. Journal of Epidemiology &amp; Community Health. 2007;61(3)</w:t>
      </w:r>
    </w:p>
    <w:sectPr w:rsidR="00606A25" w:rsidRPr="008C188D" w:rsidSect="00E065CE">
      <w:footerReference w:type="even" r:id="rId6"/>
      <w:footerReference w:type="default" r:id="rId7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51734D1" w14:textId="77777777" w:rsidR="00D25090" w:rsidRDefault="00D25090" w:rsidP="001B6F76">
      <w:pPr>
        <w:spacing w:after="0" w:line="240" w:lineRule="auto"/>
      </w:pPr>
      <w:r>
        <w:separator/>
      </w:r>
    </w:p>
  </w:endnote>
  <w:endnote w:type="continuationSeparator" w:id="0">
    <w:p w14:paraId="43DAB365" w14:textId="77777777" w:rsidR="00D25090" w:rsidRDefault="00D25090" w:rsidP="001B6F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altName w:val="Sylfaen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Rockwell">
    <w:panose1 w:val="02060603020205020403"/>
    <w:charset w:val="4D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263739303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07093D9" w14:textId="51BAD724" w:rsidR="001B6F76" w:rsidRDefault="001B6F76" w:rsidP="002264D6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66D7D0C2" w14:textId="77777777" w:rsidR="001B6F76" w:rsidRDefault="001B6F76" w:rsidP="001B6F76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-1684969450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4FA3DF1A" w14:textId="275A4BB6" w:rsidR="001B6F76" w:rsidRDefault="001B6F76" w:rsidP="002264D6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348E3C16" w14:textId="77777777" w:rsidR="001B6F76" w:rsidRDefault="001B6F76" w:rsidP="001B6F76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95D151C" w14:textId="77777777" w:rsidR="00D25090" w:rsidRDefault="00D25090" w:rsidP="001B6F76">
      <w:pPr>
        <w:spacing w:after="0" w:line="240" w:lineRule="auto"/>
      </w:pPr>
      <w:r>
        <w:separator/>
      </w:r>
    </w:p>
  </w:footnote>
  <w:footnote w:type="continuationSeparator" w:id="0">
    <w:p w14:paraId="291DF57D" w14:textId="77777777" w:rsidR="00D25090" w:rsidRDefault="00D25090" w:rsidP="001B6F7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1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065CE"/>
    <w:rsid w:val="00047D35"/>
    <w:rsid w:val="001B6F76"/>
    <w:rsid w:val="00324529"/>
    <w:rsid w:val="00397A89"/>
    <w:rsid w:val="003E7975"/>
    <w:rsid w:val="00523E3C"/>
    <w:rsid w:val="005702C0"/>
    <w:rsid w:val="00606A25"/>
    <w:rsid w:val="006454C1"/>
    <w:rsid w:val="006B6768"/>
    <w:rsid w:val="007B2F12"/>
    <w:rsid w:val="008825C4"/>
    <w:rsid w:val="008834A5"/>
    <w:rsid w:val="008C188D"/>
    <w:rsid w:val="008D0BDB"/>
    <w:rsid w:val="009B4429"/>
    <w:rsid w:val="00A3777E"/>
    <w:rsid w:val="00A75881"/>
    <w:rsid w:val="00B52F2B"/>
    <w:rsid w:val="00BB2F0F"/>
    <w:rsid w:val="00C27E72"/>
    <w:rsid w:val="00C646ED"/>
    <w:rsid w:val="00CC0143"/>
    <w:rsid w:val="00CC422E"/>
    <w:rsid w:val="00D06A52"/>
    <w:rsid w:val="00D25090"/>
    <w:rsid w:val="00D700A2"/>
    <w:rsid w:val="00E065CE"/>
    <w:rsid w:val="00E664A8"/>
    <w:rsid w:val="00F23336"/>
    <w:rsid w:val="00F81ED2"/>
    <w:rsid w:val="00FB29CF"/>
    <w:rsid w:val="00FF7D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9AC1DD"/>
  <w15:chartTrackingRefBased/>
  <w15:docId w15:val="{99BF0673-F869-4DB2-9C78-191051A0D2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065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1B6F7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B6F76"/>
  </w:style>
  <w:style w:type="character" w:styleId="PageNumber">
    <w:name w:val="page number"/>
    <w:basedOn w:val="DefaultParagraphFont"/>
    <w:uiPriority w:val="99"/>
    <w:semiHidden/>
    <w:unhideWhenUsed/>
    <w:rsid w:val="001B6F76"/>
  </w:style>
  <w:style w:type="paragraph" w:styleId="Header">
    <w:name w:val="header"/>
    <w:basedOn w:val="Normal"/>
    <w:link w:val="HeaderChar"/>
    <w:uiPriority w:val="99"/>
    <w:unhideWhenUsed/>
    <w:rsid w:val="003E797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E7975"/>
  </w:style>
  <w:style w:type="character" w:styleId="CommentReference">
    <w:name w:val="annotation reference"/>
    <w:basedOn w:val="DefaultParagraphFont"/>
    <w:uiPriority w:val="99"/>
    <w:semiHidden/>
    <w:unhideWhenUsed/>
    <w:rsid w:val="005702C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702C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702C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702C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702C0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702C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02C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365</Words>
  <Characters>2083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Sydney University</Company>
  <LinksUpToDate>false</LinksUpToDate>
  <CharactersWithSpaces>2444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NIDHI SARASWAT</dc:creator>
  <cp:keywords/>
  <dc:description/>
  <cp:lastModifiedBy>Nidhi Saraswat</cp:lastModifiedBy>
  <cp:revision>4</cp:revision>
  <dcterms:created xsi:type="dcterms:W3CDTF">2019-07-06T02:48:00Z</dcterms:created>
  <dcterms:modified xsi:type="dcterms:W3CDTF">2020-01-21T05:05:00Z</dcterms:modified>
</cp:coreProperties>
</file>